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Восстановление и сохранение запасов водных биологических ресурсов в Волго-Каспийском бассейне </w:t>
      </w:r>
    </w:p>
    <w:p w:rsidR="00F24B41" w:rsidRDefault="00F24B4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24B41" w:rsidRDefault="00B65E34">
      <w:pPr>
        <w:pStyle w:val="af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Формулировка проблемы: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пополнение запасов ценных видов рыб в Волго-Каспийском бассейне резко сократилось. Итоги функционирования рыбоводного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хозяйства России на Каспии последних лет показывают, что пока не удается переломить кризисную ситуацию в отрасли, сложившуюся в последние десятилетия ХХ и начала XXI веков, что выражается, прежде всего, в снижении уровня промышленно-экономических показате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 рыбохозяйственная отрасль имеет в ряде районов Астраханской области важнейшее социально-экономическое значение, как значимый источник обеспечения жизни и занятости населения, формирования доходной части бюджетов разных уровней.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время в российской части Каспийского бассейна рыболовство сосредоточено главным образом в пределах Астраханской области, где согласно официальной статистике основными водными биоресурсами внутренних водоёмов являются полупроходные и речные виды рыб.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стоящее время запас полупроходных и речных рыб находится на уровне 250 тыс. тонн, а промышленный вылов составляет около 40,0 тыс. тонн. В 2022 году вылов полупроходных и речных рыб составил 38,2 тыс. тонн, в том числе по общедопустимому улову (далее – ОДУ)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25,6 тыс. тонн, «прочих  пресноводных» на уровне 12,6 тыс. тонн.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запасов полупроходных и речных рыб различное. Относительно стабильными остаются запасы и уловы хищников (сома, щуки). Естественное воспроизводство сома и щуки осуществляется в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ловиях относительно благоприятного гидрологического режима в авандельте р. Волги, 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нерест их не зависит от стока весеннего половодья. Самый проблемный вид на данный период – это вобла, так как д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>ля метания икры (нереста) вобла заходит в </w:t>
      </w:r>
      <w:hyperlink r:id="rId7" w:tooltip="Ильмень (значения)" w:history="1"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</w:rPr>
          <w:t>ильмени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 </w:t>
      </w:r>
      <w:hyperlink r:id="rId8" w:tooltip="Камыш" w:history="1"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</w:rPr>
          <w:t>камыш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 xml:space="preserve">, выбирается также на травянистые места, залитые полой водой. Залитие полоев подвержено антропогенному воздействию со стороны имеющихся на р. Волге гидроузлов.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14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Вобла – объект интенсивного, исторически сложившегося промысла, и, один из символов рыбных богатств не только Астраханской области, но и России в целом.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период Великой Отечественной Войны именно эта небольшая рыба, благодаря доступности и своим питательн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ым свойствам, спасла от страшного голода не одну тысячу жителей Астраханской области. В качестве благодарности на собранные средства горожан в центре города была установлена удивительная полутораметровая скульптура, получившая название «Вобла-кормилица».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овля воблы является любимой забавой всех без исключения горожан. Ежегодно здесь каждый с нетерпением ждет весеннего половодья, когда постоянно обитающая в Каспии рыба вобла поднимается вверх по реке Волге на нерест. На сегодняшний день вобла – это один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символов нашего региона.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14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Именно лов воблы и других видов речных рыб так привлекает туристов в Астраханскую область, на чем в немалой степени зиждется экономическое развитие этой отрасли региона. При этом динамика туристического потока идет по нарастающей.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частности, по данным Астраханьстата по итогам 2021 года существенно увеличился объём внутреннего туристического потока в регионе: 117 турагентств обслужили 51,2 тыс. туристов из России, что по отношению к 2020 году составляет рост на 139,1 %. При этом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резвычайно важной представляется задача гармонизации этой отрасли туризма с необходимостью сохранения ценного биоресурса популяции воблы на стабильном промышленно-промысловом значении.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14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одновременного наложения ряда негативных обстоятельств в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время популяция воблы находится в депрессивном состоянии, уловы ее фиксируются на критическом уровне. В 2022 г. вылов воблы составил около 1 тыс. т, что значительно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 улова 2021 г. в объеме 1,134 тыс. т. Некогда самый многочисленный вид, доля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от общего вылова доходила до 40%, в наше время находится в глубокой депрессии с сохранением отрицательной динамики на перспективу. Только за последние 20 лет запасы воблы сократились в 2 раза, а уловы за этот период - в 6 раз. За период наблюдений c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г. уловы воблы упали более чем в 130 раз.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уровень промыслового запаса воблы по данным мониторинговых наблюдений в 2021 г. оценен в объеме 22 тыс. т. Это чрезвычайно близко к критическому значению запаса в 20 тыс. т. Преодоление указанного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рога будет означать потерю популяцией способности к самовосстановлению и ее деградации, с полной утратой воблой промыслового значения.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14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научно-исследовательским прогнозам Волжско-Каспийского филиала ФГБНУ «ВНИРО» («КаспНИРХ») на ближайшую перспективу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должится снижение нерестового запаса северокаспийской популяции воблы. Общая биомасса взрослой воблы (2+ и старше лет) в сравнении с 2022 годом снизится на 1,5 тыс. тонн и составит в 2023 г 19,5 тыс. тонн, основу будут формировать крайне малочисленные поко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2018-2020 гг., низкая урожайность которых стала прямым следствием нерационального управления водного режима реки Волги в период ее воспроизводства. При этом, поколение 2019 – 2021 годов практически полностью утрачено, что подтверждается данными монит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оринговых наблюдений в акватории Северного Каспия.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14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допустимый улов (ОДУ) воблы на 2023 г. определен в объёме 940 тонн, что меньше на 170 тонн этого параметра 2022 г. Основная часть промыслового стада воблы (до 90%) добывается в реке, т.е. ОДУ в р.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олге с придаточными водоемами оценен в 850 тонн, для Каспийского моря – 90 т.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 ежегодного сокращения промыслового запаса воблы и других полупроходных видов рыб связана с систематическим несоблюдением оптимальных рыбохозяйственных попусков воды в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льте Волги в весенний период, несоблюдением периода продолжительности рыбохозяйственной полки (до 60 дней), которые определяют возможность достижения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народившейся молоди жизнестойких этапов развития до окончания половодья, а так же с нагрузкой разнообразно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незаконного, несообщаемого и нерегулируемого промысла (ННН-промысел). Все эти факторы снижают эффективность естественного воспроизводства воблы и, соответственно, пополнения её запасов.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сохранения и восстановления популяции воблы Губернатором 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траханской области дано поручение о создании оперативного штаба по контролю за выловом водных биологических ресурсов не только промышленными рыбаками, но и рыбаками любителями, в связи с тем, что за последние годы ННН промысел рыбаками-любителями сравним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официальным выловом промышленными организациями. 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оперативный штаб возглавляется Волго-Каспийским территориальным управлением Росрыболовства, в который входят представители заинтересованных структур в области охраны биоресурсов.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время  туристич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сезона привлекаются дополнительные силы сотрудников Росрыболовства с других  регионов в количестве 20 инспекторов с автомобильной техникой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Преобладающее большинство полупроходных (вобла, лещ, сазан) и туводных (краснопёрка, густера, карась, синец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 рыб размножаются во временно затапливаемых полойных водоёмах, образующихся в период весеннего половодья в дельте реки Волги и Волго-Ахтубинской пойме.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естественных условиях водности реки Волги до сооружения Волжско-Камского каскада водохранилищ во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 половине XXвека и зарегулирования стока реки затопление нерестовых угодий в дельте Волги и Волго-Ахтубинской пойме формировалось под влиянием естественного хода половодья, которое в большинстве случаев обеспечивало благоприятные условия для размножен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рыб и нагула молоди. Полои заливались на неделю раньше наступления нерестовой температуры воды в реке (+8 °С) до захода в них производителей рыб которые идут на нерест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нерестилищах, к сроку появления и перехода на внешнее питание первых личинок,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витие кормовых зоопланктонных организмов достигало уровня, удовлетворяющего их потребности.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зарегулированный период распределение стока реки Волги в течение года и режим попусков стали искусственно регулируемыми, что привело к значительным нарушениям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 размножения и обитания рыб, и обусловило сокращение масштабов их естественного воспроизводства и, как следствие, снижение запасов водных биоресурсов Каспийского бассейна.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режим попусков с Волгоградского гидроузла, осуществляемый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лавным образом в интересах энергетики и по остаточному принципу для рыбного хозяйства, является серьёзной и актуальной проблемой. Так как нарушилась естественная сопряжённость водного и термического режимов, уменьшился объём и период половодья, резко возро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скорости подъёма и спада волны половодья, сократились продолжительность стояния высоких уровней в дельте и существования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полоев, что привело к сокращению периода нагула молоди в благоприятных полойных условиях.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Нерестовый цикл рыб состоит из нескольких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последовательных этапов: подход производителей к местам размножения, икрометание, инкубационный период развития икры, выклев личинок и формирование различных этапов развития молоди до мальковой стадии, затем её покатная миграция. При определённой продолжи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пребывания молоди на нерестилищах происходит постепенный её рост, формирование органов жизнедеятельности, покрытие тела чешуёй. С момента вылупления из икринки и до превращения в малька проходит в среднем 45 суток. При этом следует учитывать,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нерест рыб носит растянутый характер.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эффективного воспроизводства и пополнения популяций промысловых видов рыб необходимы соответствующие оптимальные условия, обеспечивающие успешное прохождение всех этапов нерестового цикла. Требования рыбного хозяй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давно сформулированы специалистами ФГБНУ «Всероссийский научно-исследовательский институт рыбного хозяйства и океанографии», Волжско-Каспийский филиал ФГБНУ «ВНИРО» («КаспНИРХ»).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5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Благоприятные условия для размножения рыб на нерестилищах складываются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многоводные годы, когда объём стока реки Волги за II квартал (апрель – июнь) составляет не менее 120,0 км³, спецпопуски с Волгоградского гидроузла начинаются на неделю раньше наступления нерестовой температуры воды в реке по в/п г. Астрахань, равной 8°С,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обводнения полоев не меньше 60 суток, скорость подъёма и спада волны половодья не превышает 6 см/сутки. В такие годы на нерестилищах отмечается увеличение численности и качественных показателей молоди рыб.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отрицательными по качес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 водного режима были 2011 и 2015 годы. Но даже если встречаются единичные многоводные годы, ряд маловодных лет не позволяет эффективно восполняться запасам водных биоресурсов естественным образом. Отрицательный эффект подобного подхода к регулированию 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одности накапливается, приводит к возникновению проблемы дефицита производителей на нерестилищах даже в хорошие по водности годы.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неудовлетворительных попусков воды с Волгоградского гидроузла в период половодья, рыбному хозяйству Волго-Каспий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наносится колоссальный ущерб, масштабы которого отражаются на промысловых уловах в последующие годы. С 2006 года естественному воспроизводству полупроходных и речных рыб в результате нарушения рыбохозяйственных попусков воды нанесён ущерб промысловых запас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порядка 250 тыс. тонн без учёта накапливаемого ущерба.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при наблюдаемом сокращении производителей основных промысловых рыб, необходимо обеспечивать оптимальные условия для их воспроизводства. В случае намеренного регулирования водности,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ещё более сдвигающего уровенные и температурные режимы в сторону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естественной потребности водных биоресурсов в период воспроизводства в апреле – июне, потери могут возрасти кратно и привести к утрате целых поколений рыб и других гидробионтов с потерей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рыболовства в регионе, выражающегося цифрой только промышленных уловов более 40 тыс. тонн в год.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Сложная ситуация наблюдается и с запасами каспийских осетровых видов рыб. Предпринимаемые в настоящее время нашим государством усилия по восстановлению запасов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осетровых видов рыб в Каспийском бассейне, включая запрет коммерческого вылова и многолетние работы по искусственному воспроизводству, не позволяют изменить негативный тренд непрерывного снижения численности популяций.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каспийских осетровых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одной из первоочередных задач для Астраханской области и для Российской Федерации в целом, поскольку осетровые виды рыб являются федеральным ресурсом повышенной значимости и имеют ряд международных приоритетов. В целях восстановления запасов осетровых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видов рыб в Волжско-Каспийском рыбохозяйственном бассейне с 2000 года введён мораторий на промышленный вылов белуги, а с 2005 года – на все остальные виды осетровых рыб.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1992 году начала свою работу межведомственная Комиссия по водным биоресурсам Каспий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ского моря, а в 2014 году в г. Астрахань было подписано Соглашение о сохранении и рациональном использовании водных биоресурсов Каспийского моря. Комиссия создана для реализации Соглашения о сохранении и рациональном использовании водных биоресурсов Каспий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ского моря от 29 сентября 2014 года.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6-й сессии межправительственной Комиссии по сохранению и рациональному использованию водных биоресурсов и управлению их совместными запасами Каспийского моря (19 – 21 декабря 2022 г.) под председательством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Казахстан представители прикаспийской пятерки России, Азербайджанской Республики, Исламской Республики Иран, Республики Казахстан и Туркменистана договорились продлить запрет на коммерческий промысел осетровых видов рыб на 2023 год и не устанавл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 на 2023 год квоты экспорта на черную икру. Вылов осетровых видов рыб в 2023 году, как и ранее, намечено осуществлять только в научно-исследовательских целях и в целях искусственного воспроизводства.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Российской делегации вошли сотрудники Роср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ыболовства и Всероссийского НИИ рыбного хозяйства и океанографии. Участники обсудили осуществление промысла совместных водных биоресурсов, основные результаты научных исследований по состоянию запасов промысловых видов, а также работу стран по искусственно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воспроизводству и рыбоохране.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Начиная с 70-80-х годов прошлого века, уловы осетровых составляли 25-28 тыс. тонн, в настоящее время промысел осетровых видов рыб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осуществляется только в научно-исследовательских целях и в целях искусственного воспроизводст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в объёме 0,010тыс. тонн.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основные российские мощности по искусственному воспроизводству Каспийских осетровых расположены на территории Астраханской области.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сохранения естественной популяции осетровых видов рыб на территории Астраханской области шестью осетровыми рыбоводными заводами, занимающимися искусственным воспроизводством, относящимися к системе Каспийского филиала ФГБУ «Главрыбвод» (Александровский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Бертюльский, Житнинский, Кизанский, Сергиевский и Лебяжий) (далее -ФГБУ «Главрыбвод») в 2022 году в естественную среду обитания было выпущено 25,1 млн штук осетровых видов рыб при государственном задании, установленном в объеме 18,4 млн штук. Основным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выпускаемых видов рыбоводными заводами является русский осетр. Однако по данным современных научных исследований такой объем воспроизводства способен только поддерживать популяцию на низком уровне, поскольку для восстановления Каспийских осетровых необход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 ежегодно выпускать около 60 млн. штук разновидовой молоди этих ценных видов рыб.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допустимые уловы названных выше осетровых в районе добычи (вылова) водных биологических ресурсов во внутренних водах Астраханской области определяют в р. Волге и 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водотоках определяются исключительно целями научно-исследовательских работ и не имеют рыбохозяйственного значения. Единственный вид осетровых рыб, добываемых в малых промышленных объемах – стерлядь, но установленный лимит не позволяет надеяться на высокую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доходность этой отрасли: Согласно принятому правилу регулирования промысла и биологическим ориентирам управления, БДЛ (биологически допустимый лимит) стерляди в р. Волге и её водотоках (Астраханская область) на 2023 г. определен в объеме 2,433 т, ОДУ – 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150 т. (См.: Материалы, обосновывающие общие допустимые уловы в районе добычи (вылова) водных биологических ресурсов во внутренних водах Астраханской области, за исключением внутренних морских вод, на 2023 год (с оценкой воздействия на окружающую среду.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 Федерального агентства по рыболовству (Росрыболовство), ФГБНУ «Всероссийский научно-исследовательский институт рыбного хозяйства и океанографии», Волжско-Каспийский филиал ФГБНУ «ВНИРО» («КаспНИРХ»).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сохранения и восстановления Каспийских осетровы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необходим комплекс мероприятий, направленный на увеличение объема воспроизводства, осуществление которого невозможно без соответствующего финансирования и модернизации производства на базе ФГБУ «Главрыбвод» путем строительства садковой базы с инфраструкт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урой для содержания маточного стада осетровых, а также проведение реконструкции и технологической модернизации производственных мощностей.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 на территории региона помимо объектов ФГБУ «Главрыбвод» расположены 3 осетроводческих племенных хозяйст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частной формы собственности, имеющие свои ремонтно-маточные стада, развитую производственную базу и способные в целях искусственного воспроизводства осуществлять выпуск молоди осетровых видов рыб (русский осетр, стерлядь, белуга, севрюга) в естественную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среду обитания (порядка 40,0 млн штук молоди ежегодно).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08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Кроме того, данные предприятия участвуют в социально значимых проектах по благотворительному выпуску молоди осетровых видов рыб укрупненной навески в реку Волгу в целях сохранения и пополнения естест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венной популяции вида.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08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Правительство Астраханской области проявляет прямую заинтересованность в развитии отрасли «Рыболовство и рыбоводство», в связи с чем, субсидии местным бюджетам на 2023 год в рамках реализации подпрограммы «Комплексное развитие сельск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их территорий Астраханской области» государственной программы «Развитие сельского хозяйства, пищевой и рыбной промышленности Астраханской области» предусмотрены в объеме 3 759,7 тыс. рублей в рамках межбюджетных трансфертов (пп. «а», п. 3 ст. 7  Закона 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раханской области от 15 декабря 2022 года  № 93 / 2022-ОЗ «О бюджете Астраханской области на 2023 год и на плановый период 2024 и 2025 годов»). Однако особая пищевая ценность осетровых рыб, выросших в их естественной среде, и сложность решения задачи не 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лько сохранения популяции, но и возвращения в формат промыслового их рыболовства требует более высокого уровня администрирования и привлечения куда как более значительных средств, для реализации системных мероприятий для восстановления этой подотрасли экон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омики Астраханской области.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реализации  проекта планируется к 2030 году увеличить объем добычи биологических ресурсов на 10% который составит 42 тыс. тонн, объем выращенной товарной аквакультуры увеличится на 18% и составит 24 тыс. тонн,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осетровых 4 тыс. тонн, что в свою очередь будет способствовать модернизации и наращиванию производственных мощностей по переработке рыбной продукции, наращиванию экспортного и инвестиционного потенциалов региона, позволит создать дополнительно 530 рабочих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мест, увеличить объем поступления налоговых платежей в бюджеты всех уровней более, чем на 32 млн руб. в год.</w:t>
      </w:r>
    </w:p>
    <w:p w:rsidR="00F24B41" w:rsidRDefault="00F24B4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F24B41" w:rsidRDefault="00B65E34">
      <w:pPr>
        <w:pStyle w:val="af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Формулировка задачи: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35" w:lineRule="atLeast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задача заключается в естественном восстановлении водных биологических ресурсов в Волго-Каспийском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рыбохозяйственном подрайоне (Астраханская область), в том числе рыб ценных осетровых пород в природной среде их обитания до уровня рыболовецкого промысла в промышленных масштабах, формирования на этой основе естественного резерва для выращивания осетровых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искусственных условиях. Отдельная задача состоит в восстановлении популяции воблы до стабильно промысловых значений с устойчивым воспроизводством в естественной природной среде. Данные задачи разбиваются на: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Организационную составляющую оптимизация весенних попусков воды в низовья Волги в интересах естественного воспроизводства полупроходных и речных видов рыб (в частности воблы). С учетом добегания воды, половодные расходы воды необходимо начинать при темп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ературах порядка 6°С по водопосту Астрахань, так как среднемноголетняя дата наступления нерестовых температур по водопосту Астрахань составляет 8°С. При этом наиболее часто начало нереста случается в период с 28 апреля по 3 мая.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Организационную составл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яющую по усилению контрольных и надзорных мероприятий в период нерестовых миграций и нереста полупроходных и речных видов рыб со стороны Астраханской межрайонной природоохранной прокуратуры,  Волго-Каспийского территориальное управления Федерального агентс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 по рыболовству,  Пограничного управления ФСБ РФ по республике Калмыкия и Астраханской области.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Технологическую задачу привлечения осетроводческих племенных хозяйств частной формы собственности, имеющих свои ремонтно-маточные стада, к работам по 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усственному воспроизводству осетровых видов рыб и выпуска их в естественную среду обитания для дальнейшего размножения.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Технологическую задачу расширения рыбохозяйственных исследований воблы и проведение экспериментальных работ по технологиям искусствен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воспроизводства воблы.</w:t>
      </w:r>
    </w:p>
    <w:p w:rsidR="00F24B41" w:rsidRDefault="00F2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F24B41" w:rsidRDefault="00B65E34">
      <w:pPr>
        <w:pStyle w:val="af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Ожидаемый результат: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Восстановление промысловых запасов водных биологических ресурсов  в Волго – Каспийском рыбохозяйственном бассейне, в том числе рыб ценных осетровых пород в природной среде их обитания в Астраханской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и создание стабильного состояния их популяции для устойчивого резерва искусственного и естественного воспроизводства. Сопутствующие результаты видятся в следующем: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Увеличение объема искусственного воспроизводства осетровых видов рыб.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Увеличен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эффективности рыбоводных заводов, осуществляющих искусственное воспроизводство, за счет увеличения финансирования и модернизации производства.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Увеличение естественного воспроизводства  ценных видов рыб (русского осетра, стерляди, белуги и севрюги)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счет искусственного воспроизводства.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Повышение эффективности искусственного воспроизводства ценных видов рыб.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Увеличение численности молоди полупроходных и речных видов рыб от естественного воспроизводства. 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Увеличение численности молоди воблы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искусственного воспроизводства.</w:t>
      </w:r>
    </w:p>
    <w:p w:rsidR="00F24B41" w:rsidRDefault="00B65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35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Увеличение объема промышленного рыболовства.</w:t>
      </w:r>
    </w:p>
    <w:p w:rsidR="00F24B41" w:rsidRDefault="00B65E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 Привлечение любителей рыболовов-туристов в регион. </w:t>
      </w:r>
    </w:p>
    <w:p w:rsidR="00F24B41" w:rsidRDefault="00F2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F24B41" w:rsidRDefault="00B65E34">
      <w:pPr>
        <w:pStyle w:val="af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  <w:t>Ключевые слова: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осетровые виды рыб, вобла, повышение эффективности искусственного воспроизводства, динамика численно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рыб, в том числе, полупроходных и речных видов, восстановление рыбных запасов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.</w:t>
      </w:r>
    </w:p>
    <w:sectPr w:rsidR="00F24B4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E34" w:rsidRDefault="00B65E34">
      <w:pPr>
        <w:spacing w:after="0" w:line="240" w:lineRule="auto"/>
      </w:pPr>
      <w:r>
        <w:separator/>
      </w:r>
    </w:p>
  </w:endnote>
  <w:endnote w:type="continuationSeparator" w:id="0">
    <w:p w:rsidR="00B65E34" w:rsidRDefault="00B6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E34" w:rsidRDefault="00B65E34">
      <w:pPr>
        <w:spacing w:after="0" w:line="240" w:lineRule="auto"/>
      </w:pPr>
      <w:r>
        <w:separator/>
      </w:r>
    </w:p>
  </w:footnote>
  <w:footnote w:type="continuationSeparator" w:id="0">
    <w:p w:rsidR="00B65E34" w:rsidRDefault="00B6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95728436"/>
      <w:docPartObj>
        <w:docPartGallery w:val="Page Numbers (Top of Page)"/>
        <w:docPartUnique/>
      </w:docPartObj>
    </w:sdtPr>
    <w:sdtEndPr/>
    <w:sdtContent>
      <w:p w:rsidR="00F24B41" w:rsidRDefault="00B65E34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4B41" w:rsidRDefault="00F24B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2507"/>
    <w:multiLevelType w:val="hybridMultilevel"/>
    <w:tmpl w:val="7FC2C046"/>
    <w:lvl w:ilvl="0" w:tplc="ED50A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F8C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BE3C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ECD3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5073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60D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AA48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B4A7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9C3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5988"/>
    <w:multiLevelType w:val="hybridMultilevel"/>
    <w:tmpl w:val="DDD244AE"/>
    <w:lvl w:ilvl="0" w:tplc="5330F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4557E">
      <w:start w:val="1"/>
      <w:numFmt w:val="lowerLetter"/>
      <w:lvlText w:val="%2."/>
      <w:lvlJc w:val="left"/>
      <w:pPr>
        <w:ind w:left="1440" w:hanging="360"/>
      </w:pPr>
    </w:lvl>
    <w:lvl w:ilvl="2" w:tplc="30800A58">
      <w:start w:val="1"/>
      <w:numFmt w:val="lowerRoman"/>
      <w:lvlText w:val="%3."/>
      <w:lvlJc w:val="right"/>
      <w:pPr>
        <w:ind w:left="2160" w:hanging="180"/>
      </w:pPr>
    </w:lvl>
    <w:lvl w:ilvl="3" w:tplc="16D2B89A">
      <w:start w:val="1"/>
      <w:numFmt w:val="decimal"/>
      <w:lvlText w:val="%4."/>
      <w:lvlJc w:val="left"/>
      <w:pPr>
        <w:ind w:left="2880" w:hanging="360"/>
      </w:pPr>
    </w:lvl>
    <w:lvl w:ilvl="4" w:tplc="848A44E6">
      <w:start w:val="1"/>
      <w:numFmt w:val="lowerLetter"/>
      <w:lvlText w:val="%5."/>
      <w:lvlJc w:val="left"/>
      <w:pPr>
        <w:ind w:left="3600" w:hanging="360"/>
      </w:pPr>
    </w:lvl>
    <w:lvl w:ilvl="5" w:tplc="A842A118">
      <w:start w:val="1"/>
      <w:numFmt w:val="lowerRoman"/>
      <w:lvlText w:val="%6."/>
      <w:lvlJc w:val="right"/>
      <w:pPr>
        <w:ind w:left="4320" w:hanging="180"/>
      </w:pPr>
    </w:lvl>
    <w:lvl w:ilvl="6" w:tplc="9D344762">
      <w:start w:val="1"/>
      <w:numFmt w:val="decimal"/>
      <w:lvlText w:val="%7."/>
      <w:lvlJc w:val="left"/>
      <w:pPr>
        <w:ind w:left="5040" w:hanging="360"/>
      </w:pPr>
    </w:lvl>
    <w:lvl w:ilvl="7" w:tplc="D06E90EA">
      <w:start w:val="1"/>
      <w:numFmt w:val="lowerLetter"/>
      <w:lvlText w:val="%8."/>
      <w:lvlJc w:val="left"/>
      <w:pPr>
        <w:ind w:left="5760" w:hanging="360"/>
      </w:pPr>
    </w:lvl>
    <w:lvl w:ilvl="8" w:tplc="F2EE56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26CF"/>
    <w:multiLevelType w:val="hybridMultilevel"/>
    <w:tmpl w:val="27A2EDB8"/>
    <w:lvl w:ilvl="0" w:tplc="4D122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20F6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3678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0EA3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800E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B2A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CA0B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4EAF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28BA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94BFE"/>
    <w:multiLevelType w:val="hybridMultilevel"/>
    <w:tmpl w:val="23BC64AC"/>
    <w:lvl w:ilvl="0" w:tplc="B3D8F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988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EAA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0436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E676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B855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0AA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523D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BCD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052A2"/>
    <w:multiLevelType w:val="multilevel"/>
    <w:tmpl w:val="8C4233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0A4EE8"/>
    <w:multiLevelType w:val="hybridMultilevel"/>
    <w:tmpl w:val="CFF8D9E6"/>
    <w:lvl w:ilvl="0" w:tplc="0278F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6A89C00">
      <w:start w:val="1"/>
      <w:numFmt w:val="lowerLetter"/>
      <w:lvlText w:val="%2."/>
      <w:lvlJc w:val="left"/>
      <w:pPr>
        <w:ind w:left="1440" w:hanging="360"/>
      </w:pPr>
    </w:lvl>
    <w:lvl w:ilvl="2" w:tplc="31CA5E44">
      <w:start w:val="1"/>
      <w:numFmt w:val="lowerRoman"/>
      <w:lvlText w:val="%3."/>
      <w:lvlJc w:val="right"/>
      <w:pPr>
        <w:ind w:left="2160" w:hanging="180"/>
      </w:pPr>
    </w:lvl>
    <w:lvl w:ilvl="3" w:tplc="BA7E0A8C">
      <w:start w:val="1"/>
      <w:numFmt w:val="decimal"/>
      <w:lvlText w:val="%4."/>
      <w:lvlJc w:val="left"/>
      <w:pPr>
        <w:ind w:left="2880" w:hanging="360"/>
      </w:pPr>
    </w:lvl>
    <w:lvl w:ilvl="4" w:tplc="E1BA3786">
      <w:start w:val="1"/>
      <w:numFmt w:val="lowerLetter"/>
      <w:lvlText w:val="%5."/>
      <w:lvlJc w:val="left"/>
      <w:pPr>
        <w:ind w:left="3600" w:hanging="360"/>
      </w:pPr>
    </w:lvl>
    <w:lvl w:ilvl="5" w:tplc="5FB61E62">
      <w:start w:val="1"/>
      <w:numFmt w:val="lowerRoman"/>
      <w:lvlText w:val="%6."/>
      <w:lvlJc w:val="right"/>
      <w:pPr>
        <w:ind w:left="4320" w:hanging="180"/>
      </w:pPr>
    </w:lvl>
    <w:lvl w:ilvl="6" w:tplc="1ED05118">
      <w:start w:val="1"/>
      <w:numFmt w:val="decimal"/>
      <w:lvlText w:val="%7."/>
      <w:lvlJc w:val="left"/>
      <w:pPr>
        <w:ind w:left="5040" w:hanging="360"/>
      </w:pPr>
    </w:lvl>
    <w:lvl w:ilvl="7" w:tplc="7650690C">
      <w:start w:val="1"/>
      <w:numFmt w:val="lowerLetter"/>
      <w:lvlText w:val="%8."/>
      <w:lvlJc w:val="left"/>
      <w:pPr>
        <w:ind w:left="5760" w:hanging="360"/>
      </w:pPr>
    </w:lvl>
    <w:lvl w:ilvl="8" w:tplc="8FB48F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528A2"/>
    <w:multiLevelType w:val="hybridMultilevel"/>
    <w:tmpl w:val="F9B2AA7C"/>
    <w:lvl w:ilvl="0" w:tplc="040A3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89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767F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4215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2452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D049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C430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88E0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5A97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A31CA"/>
    <w:multiLevelType w:val="hybridMultilevel"/>
    <w:tmpl w:val="9ED8385E"/>
    <w:lvl w:ilvl="0" w:tplc="DAE64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CC2C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92F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2621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F84D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CCC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AE80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A40B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9094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41"/>
    <w:rsid w:val="00671C7A"/>
    <w:rsid w:val="009F7283"/>
    <w:rsid w:val="00AB35CA"/>
    <w:rsid w:val="00B65E34"/>
    <w:rsid w:val="00D820B0"/>
    <w:rsid w:val="00F2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FDACD-E820-0C47-B579-C18073AB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828"/>
    </w:pPr>
    <w:rPr>
      <w:rFonts w:ascii="Times New Roman" w:eastAsia="Times New Roman" w:hAnsi="Times New Roman" w:cs="Times New Roman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C%D1%8B%D1%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B%D1%8C%D0%BC%D0%B5%D0%BD%D1%8C_(%D0%B7%D0%BD%D0%B0%D1%87%D0%B5%D0%BD%D0%B8%D1%8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Pichugina</dc:creator>
  <cp:lastModifiedBy>Мария Василицова</cp:lastModifiedBy>
  <cp:revision>2</cp:revision>
  <dcterms:created xsi:type="dcterms:W3CDTF">2023-09-07T09:23:00Z</dcterms:created>
  <dcterms:modified xsi:type="dcterms:W3CDTF">2023-09-07T09:23:00Z</dcterms:modified>
</cp:coreProperties>
</file>