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35" w:lineRule="atLeast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Восстановление и сохранение запасов водных биологических ресурсов в Волго-Каспийском бассейне </w:t>
      </w:r>
    </w:p>
    <w:p w:rsidR="00F24B41" w:rsidRDefault="00F24B41">
      <w:pPr>
        <w:pStyle w:val="af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</w:p>
    <w:p w:rsidR="00F24B41" w:rsidRDefault="00B65E34">
      <w:pPr>
        <w:pStyle w:val="af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  <w:t xml:space="preserve">Формулировка проблемы: 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пополнение запасов ценных видов рыб в Волго-Каспийском бассейне резко сократилось. Итоги функционирования рыбоводного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хозяйства России на Каспии последних лет показывают, что пока не удается переломить кризисную ситуацию в отрасли, сложившуюся в последние десятилетия ХХ и начала XXI веков, что выражается, прежде всего, в снижении уровня промышленно-экономических показате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 рыбохозяйственная отрасль имеет в ряде районов Астраханской области важнейшее социально-экономическое значение, как значимый источник обеспечения жизни и занятости населения, формирования доходной части бюджетов разных уровней.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время в российской части Каспийского бассейна рыболовство сосредоточено главным образом в пределах Астраханской области, где согласно официальной статистике основными водными биоресурсами внутренних водоёмов являются полупроходные и речные виды рыб.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стоящее время запас полупроходных и речных рыб находится на уровне 250 тыс. тонн, а промышленный вылов составляет около 40,0 тыс. тонн. В 2022 году вылов полупроходных и речных рыб составил 38,2 тыс. тонн, в том числе по общедопустимому улову (далее – ОДУ)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25,6 тыс. тонн, «прочих  пресноводных» на уровне 12,6 тыс. тонн.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запасов полупроходных и речных рыб различное. Относительно стабильными остаются запасы и уловы хищников (сома, щуки). Естественное воспроизводство сома и щуки осуществляется в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ловиях относительно благоприятного гидрологического режима в авандельте р. Волги, 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нерест их не зависит от стока весеннего половодья. Самый проблемный вид на данный период – это вобла, так как д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ля метания икры (нереста) вобла заходит в </w:t>
      </w:r>
      <w:hyperlink r:id="rId7" w:tooltip="Ильмень (значения)" w:history="1">
        <w:r>
          <w:rPr>
            <w:rStyle w:val="ac"/>
            <w:rFonts w:ascii="Times New Roman" w:eastAsia="Times New Roman" w:hAnsi="Times New Roman" w:cs="Times New Roman"/>
            <w:color w:val="0563C1"/>
            <w:sz w:val="28"/>
            <w:szCs w:val="28"/>
            <w:highlight w:val="white"/>
          </w:rPr>
          <w:t>ильмени</w:t>
        </w:r>
      </w:hyperlink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 </w:t>
      </w:r>
      <w:hyperlink r:id="rId8" w:tooltip="Камыш" w:history="1">
        <w:r>
          <w:rPr>
            <w:rStyle w:val="ac"/>
            <w:rFonts w:ascii="Times New Roman" w:eastAsia="Times New Roman" w:hAnsi="Times New Roman" w:cs="Times New Roman"/>
            <w:color w:val="0563C1"/>
            <w:sz w:val="28"/>
            <w:szCs w:val="28"/>
            <w:highlight w:val="white"/>
          </w:rPr>
          <w:t>камыш</w:t>
        </w:r>
      </w:hyperlink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, выбирается также на травянистые места, залитые полой водой. Залитие полоев подвержено антропогенному воздействию со стороны имеющихся на р. Волге гидроузлов. 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14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Вобла – объект интенсивного, исторически сложившегося промысла, и, один из символов рыбных богатств не только Астраханской области, но и России в целом.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период Великой Отечественной Войны именно эта небольшая рыба, благодаря доступности и своим питательн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ым свойствам, спасла от страшного голода не одну тысячу жителей Астраханской области. В качестве благодарности на собранные средства горожан в центре города была установлена удивительная полутораметровая скульптура, получившая название «Вобла-кормилица».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овля воблы является любимой забавой всех без исключения горожан. Ежегодно здесь каждый с нетерпением ждет весеннего половодья, когда постоянно обитающая в Каспии рыба вобла поднимается вверх по реке Волге на нерест. На сегодняшний день вобла – это один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символов нашего региона. 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14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Именно лов воблы и других видов речных рыб так привлекает туристов в Астраханскую область, на чем в немалой степени зиждется экономическое развитие этой отрасли региона. При этом динамика туристического потока идет по нарастающей.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частности, по данным Астраханьстата по итогам 2021 года существенно увеличился объём внутреннего туристического потока в регионе: 117 турагентств обслужили 51,2 тыс. туристов из России, что по отношению к 2020 году составляет рост на 139,1 %. При этом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резвычайно важной представляется задача гармонизации этой отрасли туризма с необходимостью сохранения ценного биоресурса популяции воблы на стабильном промышленно-промысловом значении.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14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одновременного наложения ряда негативных обстоятельств в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время популяция воблы находится в депрессивном состоянии, уловы ее фиксируются на критическом уровне. В 2022 г. вылов воблы составил около 1 тыс. т, что значительно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 улова 2021 г. в объеме 1,134 тыс. т. Некогда самый многочисленный вид, доля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от общего вылова доходила до 40%, в наше время находится в глубокой депрессии с сохранением отрицательной динамики на перспективу. Только за последние 20 лет запасы воблы сократились в 2 раза, а уловы за этот период - в 6 раз. За период наблюдений c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 г. уловы воблы упали более чем в 130 раз.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5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уровень промыслового запаса воблы по данным мониторинговых наблюдений в 2021 г. оценен в объеме 22 тыс. т. Это чрезвычайно близко к критическому значению запаса в 20 тыс. т. Преодоление указанного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рога будет означать потерю популяцией способности к самовосстановлению и ее деградации, с полной утратой воблой промыслового значения.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14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научно-исследовательским прогнозам Волжско-Каспийского филиала ФГБНУ «ВНИРО» («КаспНИРХ») на ближайшую перспективу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должится снижение нерестового запаса северокаспийской популяции воблы. Общая биомасса взрослой воблы (2+ и старше лет) в сравнении с 2022 годом снизится на 1,5 тыс. тонн и составит в 2023 г 19,5 тыс. тонн, основу будут формировать крайне малочисленные поко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2018-2020 гг., низкая урожайность которых стала прямым следствием нерационального управления водного режима реки Волги в период ее воспроизводства. При этом, поколение 2019 – 2021 годов практически полностью утрачено, что подтверждается данными монит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оринговых наблюдений в акватории Северного Каспия. 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14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допустимый улов (ОДУ) воблы на 2023 г. определен в объёме 940 тонн, что меньше на 170 тонн этого параметра 2022 г. Основная часть промыслового стада воблы (до 90%) добывается в реке, т.е. ОДУ в р.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олге с придаточными водоемами оценен в 850 тонн, для Каспийского моря – 90 т. 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5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Причина ежегодного сокращения промыслового запаса воблы и других полупроходных видов рыб связана с систематическим несоблюдением оптимальных рыбохозяйственных попусков воды в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льте Волги в весенний период, несоблюдением периода продолжительности рыбохозяйственной полки (до 60 дней), которые определяют возможность достижения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народившейся молоди жизнестойких этапов развития до окончания половодья, а так же с нагрузкой разнообразно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незаконного, несообщаемого и нерегулируемого промысла (ННН-промысел). Все эти факторы снижают эффективность естественного воспроизводства воблы и, соответственно, пополнения её запасов.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сохранения и восстановления популяции воблы Губернатором 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траханской области дано поручение о создании оперативного штаба по контролю за выловом водных биологических ресурсов не только промышленными рыбаками, но и рыбаками любителями, в связи с тем, что за последние годы ННН промысел рыбаками-любителями сравним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официальным выловом промышленными организациями.  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оперативный штаб возглавляется Волго-Каспийским территориальным управлением Росрыболовства, в который входят представители заинтересованных структур в области охраны биоресурсов.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время  туристич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 сезона привлекаются дополнительные силы сотрудников Росрыболовства с других  регионов в количестве 20 инспекторов с автомобильной техникой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5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Преобладающее большинство полупроходных (вобла, лещ, сазан) и туводных (краснопёрка, густера, карась, синец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 рыб размножаются во временно затапливаемых полойных водоёмах, образующихся в период весеннего половодья в дельте реки Волги и Волго-Ахтубинской пойме.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5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естественных условиях водности реки Волги до сооружения Волжско-Камского каскада водохранилищ во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 половине XXвека и зарегулирования стока реки затопление нерестовых угодий в дельте Волги и Волго-Ахтубинской пойме формировалось под влиянием естественного хода половодья, которое в большинстве случаев обеспечивало благоприятные условия для размножен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рыб и нагула молоди. Полои заливались на неделю раньше наступления нерестовой температуры воды в реке (+8 °С) до захода в них производителей рыб которые идут на нерест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нерестилищах, к сроку появления и перехода на внешнее питание первых личинок,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витие кормовых зоопланктонных организмов достигало уровня, удовлетворяющего их потребности.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5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зарегулированный период распределение стока реки Волги в течение года и режим попусков стали искусственно регулируемыми, что привело к значительным нарушениям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 размножения и обитания рыб, и обусловило сокращение масштабов их естественного воспроизводства и, как следствие, снижение запасов водных биоресурсов Каспийского бассейна.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5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режим попусков с Волгоградского гидроузла, осуществляемый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лавным образом в интересах энергетики и по остаточному принципу для рыбного хозяйства, является серьёзной и актуальной проблемой. Так как нарушилась естественная сопряжённость водного и термического режимов, уменьшился объём и период половодья, резко возро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скорости подъёма и спада волны половодья, сократились продолжительность стояния высоких уровней в дельте и существования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полоев, что привело к сокращению периода нагула молоди в благоприятных полойных условиях.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5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Нерестовый цикл рыб состоит из нескольких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последовательных этапов: подход производителей к местам размножения, икрометание, инкубационный период развития икры, выклев личинок и формирование различных этапов развития молоди до мальковой стадии, затем её покатная миграция. При определённой продолжи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 пребывания молоди на нерестилищах происходит постепенный её рост, формирование органов жизнедеятельности, покрытие тела чешуёй. С момента вылупления из икринки и до превращения в малька проходит в среднем 45 суток. При этом следует учитывать,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нерест рыб носит растянутый характер.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5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эффективного воспроизводства и пополнения популяций промысловых видов рыб необходимы соответствующие оптимальные условия, обеспечивающие успешное прохождение всех этапов нерестового цикла. Требования рыбного хозяй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давно сформулированы специалистами ФГБНУ «Всероссийский научно-исследовательский институт рыбного хозяйства и океанографии», Волжско-Каспийский филиал ФГБНУ «ВНИРО» («КаспНИРХ»).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5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Благоприятные условия для размножения рыб на нерестилищах складываются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многоводные годы, когда объём стока реки Волги за II квартал (апрель – июнь) составляет не менее 120,0 км³, спецпопуски с Волгоградского гидроузла начинаются на неделю раньше наступления нерестовой температуры воды в реке по в/п г. Астрахань, равной 8°С,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обводнения полоев не меньше 60 суток, скорость подъёма и спада волны половодья не превышает 6 см/сутки. В такие годы на нерестилищах отмечается увеличение численности и качественных показателей молоди рыб.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отрицательными по качес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 водного режима были 2011 и 2015 годы. Но даже если встречаются единичные многоводные годы, ряд маловодных лет не позволяет эффективно восполняться запасам водных биоресурсов естественным образом. Отрицательный эффект подобного подхода к регулированию 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одности накапливается, приводит к возникновению проблемы дефицита производителей на нерестилищах даже в хорошие по водности годы.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неудовлетворительных попусков воды с Волгоградского гидроузла в период половодья, рыбному хозяйству Волго-Каспий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наносится колоссальный ущерб, масштабы которого отражаются на промысловых уловах в последующие годы. С 2006 года естественному воспроизводству полупроходных и речных рыб в результате нарушения рыбохозяйственных попусков воды нанесён ущерб промысловых запас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порядка 250 тыс. тонн без учёта накапливаемого ущерба.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при наблюдаемом сокращении производителей основных промысловых рыб, необходимо обеспечивать оптимальные условия для их воспроизводства. В случае намеренного регулирования водности,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ещё более сдвигающего уровенные и температурные режимы в сторону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естественной потребности водных биоресурсов в период воспроизводства в апреле – июне, потери могут возрасти кратно и привести к утрате целых поколений рыб и других гидробионтов с потерей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рыболовства в регионе, выражающегося цифрой только промышленных уловов более 40 тыс. тонн в год.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Сложная ситуация наблюдается и с запасами каспийских осетровых видов рыб. Предпринимаемые в настоящее время нашим государством усилия по восстановлению запасов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осетровых видов рыб в Каспийском бассейне, включая запрет коммерческого вылова и многолетние работы по искусственному воспроизводству, не позволяют изменить негативный тренд непрерывного снижения численности популяций.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каспийских осетровых 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одной из первоочередных задач для Астраханской области и для Российской Федерации в целом, поскольку осетровые виды рыб являются федеральным ресурсом повышенной значимости и имеют ряд международных приоритетов. В целях восстановления запасов осетровых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видов рыб в Волжско-Каспийском рыбохозяйственном бассейне с 2000 года введён мораторий на промышленный вылов белуги, а с 2005 года – на все остальные виды осетровых рыб.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1992 году начала свою работу межведомственная Комиссия по водным биоресурсам Каспий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ского моря, а в 2014 году в г. Астрахань было подписано Соглашение о сохранении и рациональном использовании водных биоресурсов Каспийского моря. Комиссия создана для реализации Соглашения о сохранении и рациональном использовании водных биоресурсов Каспий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ского моря от 29 сентября 2014 года.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заседании 6-й сессии межправительственной Комиссии по сохранению и рациональному использованию водных биоресурсов и управлению их совместными запасами Каспийского моря (19 – 21 декабря 2022 г.) под председательством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Казахстан представители прикаспийской пятерки России, Азербайджанской Республики, Исламской Республики Иран, Республики Казахстан и Туркменистана договорились продлить запрет на коммерческий промысел осетровых видов рыб на 2023 год и не устанавл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на 2023 год квоты экспорта на черную икру. Вылов осетровых видов рыб в 2023 году, как и ранее, намечено осуществлять только в научно-исследовательских целях и в целях искусственного воспроизводства.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Российской делегации вошли сотрудники Роср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ыболовства и Всероссийского НИИ рыбного хозяйства и океанографии. Участники обсудили осуществление промысла совместных водных биоресурсов, основные результаты научных исследований по состоянию запасов промысловых видов, а также работу стран по искусственно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воспроизводству и рыбоохране.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Начиная с 70-80-х годов прошлого века, уловы осетровых составляли 25-28 тыс. тонн, в настоящее время промысел осетровых видов рыб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осуществляется только в научно-исследовательских целях и в целях искусственного воспроизводст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в объёме 0,010тыс. тонн.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основные российские мощности по искусственному воспроизводству Каспийских осетровых расположены на территории Астраханской области.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сохранения естественной популяции осетровых видов рыб на территории Астраханской области шестью осетровыми рыбоводными заводами, занимающимися искусственным воспроизводством, относящимися к системе Каспийского филиала ФГБУ «Главрыбвод» (Александровский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Бертюльский, Житнинский, Кизанский, Сергиевский и Лебяжий) (далее -ФГБУ «Главрыбвод») в 2022 году в естественную среду обитания было выпущено 25,1 млн штук осетровых видов рыб при государственном задании, установленном в объеме 18,4 млн штук. Основным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выпускаемых видов рыбоводными заводами является русский осетр. Однако по данным современных научных исследований такой объем воспроизводства способен только поддерживать популяцию на низком уровне, поскольку для восстановления Каспийских осетровых необход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имо ежегодно выпускать около 60 млн. штук разновидовой молоди этих ценных видов рыб. 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допустимые уловы названных выше осетровых в районе добычи (вылова) водных биологических ресурсов во внутренних водах Астраханской области определяют в р. Волге и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водотоках определяются исключительно целями научно-исследовательских работ и не имеют рыбохозяйственного значения. Единственный вид осетровых рыб, добываемых в малых промышленных объемах – стерлядь, но установленный лимит не позволяет надеяться на высокую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доходность этой отрасли: Согласно принятому правилу регулирования промысла и биологическим ориентирам управления, БДЛ (биологически допустимый лимит) стерляди в р. Волге и её водотоках (Астраханская область) на 2023 г. определен в объеме 2,433 т, ОДУ – 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150 т. (См.: Материалы, обосновывающие общие допустимые уловы в районе добычи (вылова) водных биологических ресурсов во внутренних водах Астраханской области, за исключением внутренних морских вод, на 2023 год (с оценкой воздействия на окружающую среду.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 Федерального агентства по рыболовству (Росрыболовство), ФГБНУ «Всероссийский научно-исследовательский институт рыбного хозяйства и океанографии», Волжско-Каспийский филиал ФГБНУ «ВНИРО» («КаспНИРХ»).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сохранения и восстановления Каспийских осетровы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необходим комплекс мероприятий, направленный на увеличение объема воспроизводства, осуществление которого невозможно без соответствующего финансирования и модернизации производства на базе ФГБУ «Главрыбвод» путем строительства садковой базы с инфраструкт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урой для содержания маточного стада осетровых, а также проведение реконструкции и технологической модернизации производственных мощностей. 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 на территории региона помимо объектов ФГБУ «Главрыбвод» расположены 3 осетроводческих племенных хозяйст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частной формы собственности, имеющие свои ремонтно-маточные стада, развитую производственную базу и способные в целях искусственного воспроизводства осуществлять выпуск молоди осетровых видов рыб (русский осетр, стерлядь, белуга, севрюга) в естественную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среду обитания (порядка 40,0 млн штук молоди ежегодно).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08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Кроме того, данные предприятия участвуют в социально значимых проектах по благотворительному выпуску молоди осетровых видов рыб укрупненной навески в реку Волгу в целях сохранения и пополнения естест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венной популяции вида.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08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Правительство Астраханской области проявляет прямую заинтересованность в развитии отрасли «Рыболовство и рыбоводство», в связи с чем, субсидии местным бюджетам на 2023 год в рамках реализации подпрограммы «Комплексное развитие сельск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их территорий Астраханской области» государственной программы «Развитие сельского хозяйства, пищевой и рыбной промышленности Астраханской области» предусмотрены в объеме 3 759,7 тыс. рублей в рамках межбюджетных трансфертов (пп. «а», п. 3 ст. 7  Закона 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раханской области от 15 декабря 2022 года  № 93 / 2022-ОЗ «О бюджете Астраханской области на 2023 год и на плановый период 2024 и 2025 годов»). Однако особая пищевая ценность осетровых рыб, выросших в их естественной среде, и сложность решения задачи не 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лько сохранения популяции, но и возвращения в формат промыслового их рыболовства требует более высокого уровня администрирования и привлечения куда как более значительных средств, для реализации системных мероприятий для восстановления этой подотрасли экон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омики Астраханской области.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реализации  проекта планируется к 2030 году увеличить объем добычи биологических ресурсов на 10% который составит 42 тыс. тонн, объем выращенной товарной аквакультуры увеличится на 18% и составит 24 тыс. тонн, 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осетровых 4 тыс. тонн, что в свою очередь будет способствовать модернизации и наращиванию производственных мощностей по переработке рыбной продукции, наращиванию экспортного и инвестиционного потенциалов региона, позволит создать дополнительно 530 рабочих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мест, увеличить объем поступления налоговых платежей в бюджеты всех уровней более, чем на 32 млн руб. в год.</w:t>
      </w:r>
    </w:p>
    <w:p w:rsidR="00F24B41" w:rsidRDefault="00F24B41">
      <w:pPr>
        <w:pStyle w:val="af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F24B41" w:rsidRDefault="00B65E34">
      <w:pPr>
        <w:pStyle w:val="af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  <w:t xml:space="preserve">Формулировка задачи: 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35" w:lineRule="atLeast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задача заключается в естественном восстановлении водных биологических ресурсов в Волго-Каспийском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рыбохозяйственном подрайоне (Астраханская область), в том числе рыб ценных осетровых пород в природной среде их обитания до уровня рыболовецкого промысла в промышленных масштабах, формирования на этой основе естественного резерва для выращивания осетровых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искусственных условиях. Отдельная задача состоит в восстановлении популяции воблы до стабильно промысловых значений с устойчивым воспроизводством в естественной природной среде. Данные задачи разбиваются на: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35" w:lineRule="atLeast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Организационную составляющую оптимизация весенних попусков воды в низовья Волги в интересах естественного воспроизводства полупроходных и речных видов рыб (в частности воблы). С учетом добегания воды, половодные расходы воды необходимо начинать при темп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ературах порядка 6°С по водопосту Астрахань, так как среднемноголетняя дата наступления нерестовых температур по водопосту Астрахань составляет 8°С. При этом наиболее часто начало нереста случается в период с 28 апреля по 3 мая. 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35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Организационную составл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яющую по усилению контрольных и надзорных мероприятий в период нерестовых миграций и нереста полупроходных и речных видов рыб со стороны Астраханской межрайонной природоохранной прокуратуры,  Волго-Каспийского территориальное управления Федерального агентс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тва по рыболовству,  Пограничного управления ФСБ РФ по республике Калмыкия и Астраханской области. 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35" w:lineRule="atLeast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Технологическую задачу привлечения осетроводческих племенных хозяйств частной формы собственности, имеющих свои ремонтно-маточные стада, к работам по 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усственному воспроизводству осетровых видов рыб и выпуска их в естественную среду обитания для дальнейшего размножения.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35" w:lineRule="atLeast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Технологическую задачу расширения рыбохозяйственных исследований воблы и проведение экспериментальных работ по технологиям искусствен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воспроизводства воблы.</w:t>
      </w:r>
    </w:p>
    <w:p w:rsidR="00F24B41" w:rsidRDefault="00F24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F24B41" w:rsidRDefault="00B65E34">
      <w:pPr>
        <w:pStyle w:val="af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  <w:t xml:space="preserve">Ожидаемый результат: 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35" w:lineRule="atLeast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Восстановление промысловых запасов водных биологических ресурсов  в Волго – Каспийском рыбохозяйственном бассейне, в том числе рыб ценных осетровых пород в природной среде их обитания в Астраханской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и создание стабильного состояния их популяции для устойчивого резерва искусственного и естественного воспроизводства. Сопутствующие результаты видятся в следующем: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35" w:lineRule="atLeast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Увеличение объема искусственного воспроизводства осетровых видов рыб.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35" w:lineRule="atLeast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Увеличен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эффективности рыбоводных заводов, осуществляющих искусственное воспроизводство, за счет увеличения финансирования и модернизации производства. 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35" w:lineRule="atLeast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Увеличение естественного воспроизводства  ценных видов рыб (русского осетра, стерляди, белуги и севрюги)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счет искусственного воспроизводства. 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35" w:lineRule="atLeast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Повышение эффективности искусственного воспроизводства ценных видов рыб.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35" w:lineRule="atLeast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Увеличение численности молоди полупроходных и речных видов рыб от естественного воспроизводства. 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35" w:lineRule="atLeast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Увеличение численности молоди воблы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искусственного воспроизводства.</w:t>
      </w:r>
    </w:p>
    <w:p w:rsidR="00F24B41" w:rsidRDefault="00B65E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35" w:lineRule="atLeast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Увеличение объема промышленного рыболовства.</w:t>
      </w:r>
    </w:p>
    <w:p w:rsidR="00F24B41" w:rsidRDefault="00B65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 Привлечение любителей рыболовов-туристов в регион. </w:t>
      </w:r>
    </w:p>
    <w:p w:rsidR="00F24B41" w:rsidRDefault="00F24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F24B41" w:rsidRDefault="00B65E34">
      <w:pPr>
        <w:pStyle w:val="af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  <w:t>Ключевые слова: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осетровые виды рыб, вобла, повышение эффективности искусственного воспроизводства, динамика численно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рыб, в том числе, полупроходных и речных видов, восстановление рыбных запасов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.</w:t>
      </w:r>
    </w:p>
    <w:sectPr w:rsidR="00F24B4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E34" w:rsidRDefault="00B65E34">
      <w:pPr>
        <w:spacing w:after="0" w:line="240" w:lineRule="auto"/>
      </w:pPr>
      <w:r>
        <w:separator/>
      </w:r>
    </w:p>
  </w:endnote>
  <w:endnote w:type="continuationSeparator" w:id="0">
    <w:p w:rsidR="00B65E34" w:rsidRDefault="00B6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E34" w:rsidRDefault="00B65E34">
      <w:pPr>
        <w:spacing w:after="0" w:line="240" w:lineRule="auto"/>
      </w:pPr>
      <w:r>
        <w:separator/>
      </w:r>
    </w:p>
  </w:footnote>
  <w:footnote w:type="continuationSeparator" w:id="0">
    <w:p w:rsidR="00B65E34" w:rsidRDefault="00B65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695728436"/>
      <w:docPartObj>
        <w:docPartGallery w:val="Page Numbers (Top of Page)"/>
        <w:docPartUnique/>
      </w:docPartObj>
    </w:sdtPr>
    <w:sdtEndPr/>
    <w:sdtContent>
      <w:p w:rsidR="00F24B41" w:rsidRDefault="00B65E34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24B41" w:rsidRDefault="00F24B4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507"/>
    <w:multiLevelType w:val="hybridMultilevel"/>
    <w:tmpl w:val="7FC2C046"/>
    <w:lvl w:ilvl="0" w:tplc="ED50A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F8C1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BE3C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ECD3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5073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60D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AA48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B4A7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9C33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E5988"/>
    <w:multiLevelType w:val="hybridMultilevel"/>
    <w:tmpl w:val="DDD244AE"/>
    <w:lvl w:ilvl="0" w:tplc="5330F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44557E">
      <w:start w:val="1"/>
      <w:numFmt w:val="lowerLetter"/>
      <w:lvlText w:val="%2."/>
      <w:lvlJc w:val="left"/>
      <w:pPr>
        <w:ind w:left="1440" w:hanging="360"/>
      </w:pPr>
    </w:lvl>
    <w:lvl w:ilvl="2" w:tplc="30800A58">
      <w:start w:val="1"/>
      <w:numFmt w:val="lowerRoman"/>
      <w:lvlText w:val="%3."/>
      <w:lvlJc w:val="right"/>
      <w:pPr>
        <w:ind w:left="2160" w:hanging="180"/>
      </w:pPr>
    </w:lvl>
    <w:lvl w:ilvl="3" w:tplc="16D2B89A">
      <w:start w:val="1"/>
      <w:numFmt w:val="decimal"/>
      <w:lvlText w:val="%4."/>
      <w:lvlJc w:val="left"/>
      <w:pPr>
        <w:ind w:left="2880" w:hanging="360"/>
      </w:pPr>
    </w:lvl>
    <w:lvl w:ilvl="4" w:tplc="848A44E6">
      <w:start w:val="1"/>
      <w:numFmt w:val="lowerLetter"/>
      <w:lvlText w:val="%5."/>
      <w:lvlJc w:val="left"/>
      <w:pPr>
        <w:ind w:left="3600" w:hanging="360"/>
      </w:pPr>
    </w:lvl>
    <w:lvl w:ilvl="5" w:tplc="A842A118">
      <w:start w:val="1"/>
      <w:numFmt w:val="lowerRoman"/>
      <w:lvlText w:val="%6."/>
      <w:lvlJc w:val="right"/>
      <w:pPr>
        <w:ind w:left="4320" w:hanging="180"/>
      </w:pPr>
    </w:lvl>
    <w:lvl w:ilvl="6" w:tplc="9D344762">
      <w:start w:val="1"/>
      <w:numFmt w:val="decimal"/>
      <w:lvlText w:val="%7."/>
      <w:lvlJc w:val="left"/>
      <w:pPr>
        <w:ind w:left="5040" w:hanging="360"/>
      </w:pPr>
    </w:lvl>
    <w:lvl w:ilvl="7" w:tplc="D06E90EA">
      <w:start w:val="1"/>
      <w:numFmt w:val="lowerLetter"/>
      <w:lvlText w:val="%8."/>
      <w:lvlJc w:val="left"/>
      <w:pPr>
        <w:ind w:left="5760" w:hanging="360"/>
      </w:pPr>
    </w:lvl>
    <w:lvl w:ilvl="8" w:tplc="F2EE56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C26CF"/>
    <w:multiLevelType w:val="hybridMultilevel"/>
    <w:tmpl w:val="27A2EDB8"/>
    <w:lvl w:ilvl="0" w:tplc="4D122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20F6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3678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0EA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800E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B2AE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CA0B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4EAF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28BA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94BFE"/>
    <w:multiLevelType w:val="hybridMultilevel"/>
    <w:tmpl w:val="23BC64AC"/>
    <w:lvl w:ilvl="0" w:tplc="B3D8F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9880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EEAA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0436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E676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B855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0AAF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523D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BCDB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052A2"/>
    <w:multiLevelType w:val="multilevel"/>
    <w:tmpl w:val="8C4233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0A4EE8"/>
    <w:multiLevelType w:val="hybridMultilevel"/>
    <w:tmpl w:val="CFF8D9E6"/>
    <w:lvl w:ilvl="0" w:tplc="0278F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66A89C00">
      <w:start w:val="1"/>
      <w:numFmt w:val="lowerLetter"/>
      <w:lvlText w:val="%2."/>
      <w:lvlJc w:val="left"/>
      <w:pPr>
        <w:ind w:left="1440" w:hanging="360"/>
      </w:pPr>
    </w:lvl>
    <w:lvl w:ilvl="2" w:tplc="31CA5E44">
      <w:start w:val="1"/>
      <w:numFmt w:val="lowerRoman"/>
      <w:lvlText w:val="%3."/>
      <w:lvlJc w:val="right"/>
      <w:pPr>
        <w:ind w:left="2160" w:hanging="180"/>
      </w:pPr>
    </w:lvl>
    <w:lvl w:ilvl="3" w:tplc="BA7E0A8C">
      <w:start w:val="1"/>
      <w:numFmt w:val="decimal"/>
      <w:lvlText w:val="%4."/>
      <w:lvlJc w:val="left"/>
      <w:pPr>
        <w:ind w:left="2880" w:hanging="360"/>
      </w:pPr>
    </w:lvl>
    <w:lvl w:ilvl="4" w:tplc="E1BA3786">
      <w:start w:val="1"/>
      <w:numFmt w:val="lowerLetter"/>
      <w:lvlText w:val="%5."/>
      <w:lvlJc w:val="left"/>
      <w:pPr>
        <w:ind w:left="3600" w:hanging="360"/>
      </w:pPr>
    </w:lvl>
    <w:lvl w:ilvl="5" w:tplc="5FB61E62">
      <w:start w:val="1"/>
      <w:numFmt w:val="lowerRoman"/>
      <w:lvlText w:val="%6."/>
      <w:lvlJc w:val="right"/>
      <w:pPr>
        <w:ind w:left="4320" w:hanging="180"/>
      </w:pPr>
    </w:lvl>
    <w:lvl w:ilvl="6" w:tplc="1ED05118">
      <w:start w:val="1"/>
      <w:numFmt w:val="decimal"/>
      <w:lvlText w:val="%7."/>
      <w:lvlJc w:val="left"/>
      <w:pPr>
        <w:ind w:left="5040" w:hanging="360"/>
      </w:pPr>
    </w:lvl>
    <w:lvl w:ilvl="7" w:tplc="7650690C">
      <w:start w:val="1"/>
      <w:numFmt w:val="lowerLetter"/>
      <w:lvlText w:val="%8."/>
      <w:lvlJc w:val="left"/>
      <w:pPr>
        <w:ind w:left="5760" w:hanging="360"/>
      </w:pPr>
    </w:lvl>
    <w:lvl w:ilvl="8" w:tplc="8FB48F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528A2"/>
    <w:multiLevelType w:val="hybridMultilevel"/>
    <w:tmpl w:val="F9B2AA7C"/>
    <w:lvl w:ilvl="0" w:tplc="040A3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89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767F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4215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2452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D049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C430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88E0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5A97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8A31CA"/>
    <w:multiLevelType w:val="hybridMultilevel"/>
    <w:tmpl w:val="9ED8385E"/>
    <w:lvl w:ilvl="0" w:tplc="DAE640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CC2C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92FE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2621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F84D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CCC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AE80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A40B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9094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41"/>
    <w:rsid w:val="00671C7A"/>
    <w:rsid w:val="009F7283"/>
    <w:rsid w:val="00AB35CA"/>
    <w:rsid w:val="00B65E34"/>
    <w:rsid w:val="00D820B0"/>
    <w:rsid w:val="00F2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FDACD-E820-0C47-B579-C18073AB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828"/>
    </w:pPr>
    <w:rPr>
      <w:rFonts w:ascii="Times New Roman" w:eastAsia="Times New Roman" w:hAnsi="Times New Roman" w:cs="Times New Roman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C%D1%8B%D1%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B%D1%8C%D0%BC%D0%B5%D0%BD%D1%8C_(%D0%B7%D0%BD%D0%B0%D1%87%D0%B5%D0%BD%D0%B8%D1%8F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3337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Pichugina</dc:creator>
  <cp:lastModifiedBy>Мария Василицова</cp:lastModifiedBy>
  <cp:revision>2</cp:revision>
  <dcterms:created xsi:type="dcterms:W3CDTF">2023-09-07T09:23:00Z</dcterms:created>
  <dcterms:modified xsi:type="dcterms:W3CDTF">2023-09-07T09:23:00Z</dcterms:modified>
</cp:coreProperties>
</file>